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240" w:after="240" w:line="240" w:lineRule="auto"/>
        <w:ind w:left="0" w:right="0"/>
        <w:jc w:val="both"/>
      </w:pPr>
      <w:r>
        <w:rPr>
          <w:rFonts w:ascii="times new roman" w:hAnsi="times new roman" w:eastAsia="times new roman" w:cs="times new roman"/>
          <w:b/>
          <w:bCs/>
          <w:color w:val="0000FF"/>
          <w:sz w:val="28"/>
          <w:szCs w:val="28"/>
        </w:rPr>
        <w:t xml:space="preserve">ÖZET</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bölümde, raporun amacı, kapsamı ve hazırlanma sürecine ilişkin kısa bilgilere yer verilmelidir. Birimin/Bölümün öz değerlendirme çalışmalarının temel bulguları özetlenmelidir.</w:t>
      </w:r>
    </w:p>
    <w:p>
      <w:pPr>
        <w:widowControl w:val="on"/>
        <w:pBdr/>
        <w:spacing w:before="240" w:after="240" w:line="240" w:lineRule="auto"/>
        <w:ind w:left="0" w:right="0"/>
        <w:jc w:val="both"/>
      </w:pPr>
      <w:r>
        <w:rPr>
          <w:rFonts w:ascii="times new roman" w:hAnsi="times new roman" w:eastAsia="times new roman" w:cs="times new roman"/>
          <w:b/>
          <w:bCs/>
          <w:color w:val="0000FF"/>
          <w:sz w:val="28"/>
          <w:szCs w:val="28"/>
        </w:rPr>
        <w:t xml:space="preserve">BİRİM/ BÖLÜM HAKKINDA BİLGİLER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bölümde, Birimin/Bölümün tarihsel gelişimi, misyonu, vizyonu, değerleri, hedefleri, organizasyon yapısı ve iyileştirme alanları hakkında bilgi verilmeli ve aşağıdaki hususları içerecek şekilde düzenlenmelidir.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1.İletişim Bilgileri:</w:t>
      </w:r>
      <w:r>
        <w:rPr>
          <w:rFonts w:ascii="times new roman" w:hAnsi="times new roman" w:eastAsia="times new roman" w:cs="times new roman"/>
          <w:color w:val="000000"/>
          <w:sz w:val="24"/>
          <w:szCs w:val="24"/>
        </w:rPr>
        <w:t xml:space="preserve"> Trabzon Üniversitesi Kalite Koordinatörlüğünün BİDR değerlendirme ve/veya ziyaret sürecinde iletişim kuracağı Birim/Bölüm Kalite Komisyon Başkanının (Dekan/Müdür/Bölüm Başkanı veya ilgili Dekan/Müdür/Bölüm Başkan Yardımcısı) iletişim bilgileri (isim, adres, telefon, e-posta vb.) verilmelidir.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2.Tarihsel Gelişimi:</w:t>
      </w:r>
      <w:r>
        <w:rPr>
          <w:rFonts w:ascii="times new roman" w:hAnsi="times new roman" w:eastAsia="times new roman" w:cs="times new roman"/>
          <w:color w:val="000000"/>
          <w:sz w:val="24"/>
          <w:szCs w:val="24"/>
        </w:rPr>
        <w:t xml:space="preserve"> Birim/Bölümün kısa tarihçesi ve mevcut durumu (toplam öğrenci sayısı, akademik ve idari çalışan sayıları, altyapı durumu vb. özet bilgiler) hakkında kısa bir bilgi verilmelidir.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3.Misyonu, Vizyonu, Değerleri ve Hedefleri:</w:t>
      </w:r>
      <w:r>
        <w:rPr>
          <w:rFonts w:ascii="times new roman" w:hAnsi="times new roman" w:eastAsia="times new roman" w:cs="times new roman"/>
          <w:color w:val="000000"/>
          <w:sz w:val="24"/>
          <w:szCs w:val="24"/>
        </w:rPr>
        <w:t xml:space="preserve"> “Birim/Bölüm ne yapmaya çalışıyor?” sorusuna yanıt verebilmek üzere Birim/Bölümün misyonu, vizyonu, değerleri ve hedefleri bu kısımda özet olarak sunulmalıdır.   </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Aşağıda yer alan başlıkların yazımı için YÖKAK Dereceli Değerlendirme Anahtarı kullanılacaktır. Her her bir alt başlıkla ilgili birim/bölümde yapılan çalışmaların, alt başlığın tanımına uygun olarak kanıtlarıyla birlikte açıklanarak yazılması gerekmektedir.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A. LİDERLİK, YÖNETİŞİM ve KALİTE</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 Liderlik ve Kalite</w:t>
      </w:r>
      <w:r>
        <w:rPr>
          <w:rFonts w:ascii="Times New Roman" w:hAnsi="Times New Roman" w:eastAsia="Times New Roman" w:cs="Times New Roman"/>
          <w:b/>
          <w:bCs/>
          <w:color w:val="000000"/>
          <w:sz w:val="28"/>
          <w:szCs w:val="28"/>
        </w:rPr>
        <w:br/>
        <w:t xml:space="preserve">A.1.1. Yönetişim modeli ve idari yapı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Döner Sermaye Müdürlüğünde idari tüm işlemler iç kontrol standartlarına uygun şekilde yürütülmektedir. Faaliyetlerine devam eden mevcut görev ve sorumluluklar iş akış şemalarıyla belirlenmiş olup kamuoyu ile paylaşılmıştır (A.1.1.1).</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misyon ve stratejik hedeflerine ulaşmasını güvence altına alan ve süreçleriyle uyumlu yönetişim modeli ve idari yapılanması belirlenmiştir.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42966b227c6ba853" w:history="1">
        <w:r>
          <w:rPr>
            <w:rStyle w:val="DefaultParagraphFontPHPDOCX"/>
            <w:rFonts w:ascii="Times New Roman" w:hAnsi="Times New Roman" w:eastAsia="Times New Roman" w:cs="Times New Roman"/>
            <w:color w:val="0000FF"/>
            <w:sz w:val="24"/>
            <w:szCs w:val="24"/>
            <w:u w:val="single" w:color="000000"/>
          </w:rPr>
          <w:t xml:space="preserve">A.1.1._1: https://donersermaye.trabzon.edu.tr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A.1.2. Liderlik</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Organizasyon şeması oluşturulmuş, 2023 yılı faaliyet raporu ile kamuoyu ile paylaşılmıştır.(A.1.2.1)</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geneline yayılmış, kalite güvencesi sistemi ve kültürünün gelişimini destekleyen etkin liderlik uygulamaları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28066b227c6baab0" w:history="1">
        <w:r>
          <w:rPr>
            <w:rStyle w:val="DefaultParagraphFontPHPDOCX"/>
            <w:rFonts w:ascii="Times New Roman" w:hAnsi="Times New Roman" w:eastAsia="Times New Roman" w:cs="Times New Roman"/>
            <w:color w:val="0000FF"/>
            <w:sz w:val="24"/>
            <w:szCs w:val="24"/>
            <w:u w:val="single" w:color="000000"/>
          </w:rPr>
          <w:t xml:space="preserve">A.1.2._1: https://donersermaye.trabzon.edu.tr/S/6611/faaliyet-raporlari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A.1.3. Kurumsal dönüşüm kapasitesi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Döner Sermaye İşletme Müdürlüğü misyon ve vizyon hedeflerini yayınlamıştır. (A.1.3.1)</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değişim ihtiyacı olgunluk seviyesinde belirlenmiştir.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65966b227c6bad0d" w:history="1">
        <w:r>
          <w:rPr>
            <w:rStyle w:val="DefaultParagraphFontPHPDOCX"/>
            <w:rFonts w:ascii="Times New Roman" w:hAnsi="Times New Roman" w:eastAsia="Times New Roman" w:cs="Times New Roman"/>
            <w:color w:val="0000FF"/>
            <w:sz w:val="24"/>
            <w:szCs w:val="24"/>
            <w:u w:val="single" w:color="000000"/>
          </w:rPr>
          <w:t xml:space="preserve">A.1.3._1: https://donersermaye.trabzon.edu.tr/S/2350/trabzon-universitesi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A.1.4. İç kalite güvencesi mekanizmaları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Döner Sermaye İşletme Müdürlüğü İş akış şemaları, görev ve sorumluluklar Birimimiz veb sayfasında kamuoyuna paylaşılmıştır.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iç kalite güvencesi süreç ve mekanizmaları tanımlanmıştır.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68866b227c6baf6f" w:history="1">
        <w:r>
          <w:rPr>
            <w:rStyle w:val="DefaultParagraphFontPHPDOCX"/>
            <w:rFonts w:ascii="Times New Roman" w:hAnsi="Times New Roman" w:eastAsia="Times New Roman" w:cs="Times New Roman"/>
            <w:color w:val="0000FF"/>
            <w:sz w:val="24"/>
            <w:szCs w:val="24"/>
            <w:u w:val="single" w:color="000000"/>
          </w:rPr>
          <w:t xml:space="preserve">A.1.4._1: https://donersermaye.trabzon.edu.tr/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A.1.5. Kamuoyunu bilgilendirme ve hesap verebilirlik</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Resmî web sayfasına https://donersermaye.trabzon.edu.tr/ adresinden ulaşılmaktadır. Birim bünyesinde yapılan tüm iş ve işlemler, 2547 ve 5018 sayılı temel Kanunlar başta olmak üzere, mevzuat uyarınca hesap verebilir niteliğe sahiptir. Kamuoyunu bilgilendirme kanalı olarak web sayfamız kullanılmaktadır. (A.1.5.1)</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şeffaflık ve hesap verebilirlik ilkeleri doğrultusunda kamuoyunu bilgilendirmek üzere tanımlı süreçler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40066b227c6bb1c9" w:history="1">
        <w:r>
          <w:rPr>
            <w:rStyle w:val="DefaultParagraphFontPHPDOCX"/>
            <w:rFonts w:ascii="Times New Roman" w:hAnsi="Times New Roman" w:eastAsia="Times New Roman" w:cs="Times New Roman"/>
            <w:color w:val="0000FF"/>
            <w:sz w:val="24"/>
            <w:szCs w:val="24"/>
            <w:u w:val="single" w:color="000000"/>
          </w:rPr>
          <w:t xml:space="preserve">A.1.5._1: https://donersermaye.trabzon.edu.tr/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 Misyon ve Stratejik Amaçlar</w:t>
      </w:r>
      <w:r>
        <w:rPr>
          <w:rFonts w:ascii="Times New Roman" w:hAnsi="Times New Roman" w:eastAsia="Times New Roman" w:cs="Times New Roman"/>
          <w:b/>
          <w:bCs/>
          <w:color w:val="000000"/>
          <w:sz w:val="28"/>
          <w:szCs w:val="28"/>
        </w:rPr>
        <w:br/>
        <w:t xml:space="preserve">A.2.1. Misyon, vizyon ve politikalar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 için tanımlanmış birime özgü misyon, vizyon hazırlanarak internet sayfamızda kamuoyuna paylaşılmıştır.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tanımlanmış ve kuruma özgü misyon, vizyon ve politikaları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23166b227c6bb459" w:history="1">
        <w:r>
          <w:rPr>
            <w:rStyle w:val="DefaultParagraphFontPHPDOCX"/>
            <w:rFonts w:ascii="Times New Roman" w:hAnsi="Times New Roman" w:eastAsia="Times New Roman" w:cs="Times New Roman"/>
            <w:color w:val="0000FF"/>
            <w:sz w:val="24"/>
            <w:szCs w:val="24"/>
            <w:u w:val="single" w:color="000000"/>
          </w:rPr>
          <w:t xml:space="preserve">A.2.1._1: https://donersermaye.trabzon.edu.tr/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A.2.2. Stratejik amaç ve hedefler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stratejik planı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A.2.3. Performans yönetimi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performans yönetimi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 Yönetim Sistemleri</w:t>
      </w:r>
      <w:r>
        <w:rPr>
          <w:rFonts w:ascii="Times New Roman" w:hAnsi="Times New Roman" w:eastAsia="Times New Roman" w:cs="Times New Roman"/>
          <w:b/>
          <w:bCs/>
          <w:color w:val="000000"/>
          <w:sz w:val="28"/>
          <w:szCs w:val="28"/>
        </w:rPr>
        <w:br/>
        <w:t xml:space="preserve">A.3.1. Bilgi yönetim sistemi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bilgi yönetim sistemi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A.3.2. İnsan kaynakları yönetimi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insan kaynakları yönetimine ilişkin tanımlı süreçler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A.3.3. Finansal yönetim</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Birimimize ait Temel gelir ve gider kalemleri tanımlanmıştır ve yıllar içinde izlenmektedir. Kurumda finansal kaynakların yönetimine ilişkin süreç bilgileri internet sayfamızda yayınlanmış olup. Gelecek 3 yıl için tahmini bütçe ve geçmiş yılın kesin hesap cetvelleri Her yıl aralık ayı içerisinde Üniversite yönetim kurulu tarafından görüşülerek karara bağlanmaktadır.(A.3.3.2) (A.3.3.3)</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finansal kaynakların yönetimine ilişkin olarak stratejik hedefler ile uyumlu tanımlı süreçler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83066b227c6bbc32" w:history="1">
        <w:r>
          <w:rPr>
            <w:rStyle w:val="DefaultParagraphFontPHPDOCX"/>
            <w:rFonts w:ascii="Times New Roman" w:hAnsi="Times New Roman" w:eastAsia="Times New Roman" w:cs="Times New Roman"/>
            <w:color w:val="0000FF"/>
            <w:sz w:val="24"/>
            <w:szCs w:val="24"/>
            <w:u w:val="single" w:color="000000"/>
          </w:rPr>
          <w:t xml:space="preserve">A.3.3._1: (A.3.3.1) https://donersermaye.trabzon.edu.tr/ süreç bilgileri</w:t>
        </w:r>
      </w:hyperlink>
    </w:p>
    <w:p>
      <w:pPr>
        <w:widowControl w:val="on"/>
        <w:pBdr/>
        <w:spacing w:before="240" w:after="240" w:line="240" w:lineRule="auto"/>
        <w:ind w:left="0" w:right="0"/>
        <w:jc w:val="left"/>
      </w:pPr>
      <w:hyperlink xmlns:r="http://schemas.openxmlformats.org/officeDocument/2006/relationships" r:id="rId632066b227c6bbc94" w:history="1">
        <w:r>
          <w:rPr>
            <w:rStyle w:val="DefaultParagraphFontPHPDOCX"/>
            <w:rFonts w:ascii="Times New Roman" w:hAnsi="Times New Roman" w:eastAsia="Times New Roman" w:cs="Times New Roman"/>
            <w:color w:val="0000FF"/>
            <w:sz w:val="24"/>
            <w:szCs w:val="24"/>
            <w:u w:val="single" w:color="000000"/>
          </w:rPr>
          <w:t xml:space="preserve">A.3.3._2: (A.3.3.2 ) 3 yıllık tahmini bütçe</w:t>
        </w:r>
      </w:hyperlink>
    </w:p>
    <w:p>
      <w:pPr>
        <w:widowControl w:val="on"/>
        <w:pBdr/>
        <w:spacing w:before="240" w:after="240" w:line="240" w:lineRule="auto"/>
        <w:ind w:left="0" w:right="0"/>
        <w:jc w:val="left"/>
      </w:pPr>
      <w:hyperlink xmlns:r="http://schemas.openxmlformats.org/officeDocument/2006/relationships" r:id="rId104766b227c6bbcf3" w:history="1">
        <w:r>
          <w:rPr>
            <w:rStyle w:val="DefaultParagraphFontPHPDOCX"/>
            <w:rFonts w:ascii="Times New Roman" w:hAnsi="Times New Roman" w:eastAsia="Times New Roman" w:cs="Times New Roman"/>
            <w:color w:val="0000FF"/>
            <w:sz w:val="24"/>
            <w:szCs w:val="24"/>
            <w:u w:val="single" w:color="000000"/>
          </w:rPr>
          <w:t xml:space="preserve">A.3.3._3: (A.3.3.3) geçmiş yıl kesin hesabı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A.3.4. Süreç yönetimi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eğitim ve öğretim, araştırma ve geliştirme, toplumsal katkı ve yönetim sistemine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 Paydaş Katılımı</w:t>
      </w:r>
      <w:r>
        <w:rPr>
          <w:rFonts w:ascii="Times New Roman" w:hAnsi="Times New Roman" w:eastAsia="Times New Roman" w:cs="Times New Roman"/>
          <w:b/>
          <w:bCs/>
          <w:color w:val="000000"/>
          <w:sz w:val="28"/>
          <w:szCs w:val="28"/>
        </w:rPr>
        <w:br/>
        <w:t xml:space="preserve">A.4.1. İç ve dış paydaş katılımı</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iç kalite güvencesi sistemine paydaş katılımını sağlayacak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A.4.2. Öğrenci geri bildirimleri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öğrenci geri bildirimlerinin alınmasına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A.4.3. Mezun ilişkileri yönetimi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mezun izleme sistemi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 Uluslararasılaşma</w:t>
      </w:r>
      <w:r>
        <w:rPr>
          <w:rFonts w:ascii="Times New Roman" w:hAnsi="Times New Roman" w:eastAsia="Times New Roman" w:cs="Times New Roman"/>
          <w:b/>
          <w:bCs/>
          <w:color w:val="000000"/>
          <w:sz w:val="28"/>
          <w:szCs w:val="28"/>
        </w:rPr>
        <w:br/>
        <w:t xml:space="preserve">A.5.1. Uluslararasılaşma süreçlerinin yönetimi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uluslararasılaşma süreçlerine ilişkin yönetsel ve organizasyonel yapılanması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A.5.2. Uluslararasılaşma kaynakları</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uluslararasılaşma faaliyetlerini sürdürebilmesi için yeterli kaynak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A.5.3. Uluslararasılaşma performansı</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uluslararasılaşma faaliyeti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B. EĞİTİM VE ÖĞRETİM</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 Program Tasarımı, Değerlendirmesi ve Güncellenmesi</w:t>
      </w:r>
      <w:r>
        <w:rPr>
          <w:rFonts w:ascii="Times New Roman" w:hAnsi="Times New Roman" w:eastAsia="Times New Roman" w:cs="Times New Roman"/>
          <w:b/>
          <w:bCs/>
          <w:color w:val="000000"/>
          <w:sz w:val="28"/>
          <w:szCs w:val="28"/>
        </w:rPr>
        <w:br/>
        <w:t xml:space="preserve">B.1.1. Programların tasarımı ve onayı</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programların tasarımı ve onayına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B.1.2. Programın ders dağılım dengesi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Ders dağılımına ilişkin, ilke ve yöntemler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B.1.3. Ders kazanımlarının program çıktılarıyla uyumu</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Ders kazanımları program çıktıları ile eşleştirilmemiştir.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B.1.4. Öğrenci iş yüküne dayalı ders tasarımı</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Dersler öğrenci iş yüküne dayalı olarak tasarlanmamıştır.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B.1.5. Programların izlenmesi ve güncellenmesi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Program çıktılarının izlenmesine ve güncellenmesine ilişkin mekanizma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B.1.6. Eğitim ve öğretim süreçlerinin yönetimi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eğitim ve öğretim süreçlerini bütüncül olarak yönetmek üzere bir sistem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 Programların Yürütülmesi (Öğrenci Merkezli Öğrenme, Öğretme ve Değerlendirme)</w:t>
      </w:r>
      <w:r>
        <w:rPr>
          <w:rFonts w:ascii="Times New Roman" w:hAnsi="Times New Roman" w:eastAsia="Times New Roman" w:cs="Times New Roman"/>
          <w:b/>
          <w:bCs/>
          <w:color w:val="000000"/>
          <w:sz w:val="28"/>
          <w:szCs w:val="28"/>
        </w:rPr>
        <w:br/>
        <w:t xml:space="preserve">B.2.1. Öğretim yöntem ve teknikleri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Öğrenme-öğretme süreçlerinde öğrenci merkezli yaklaşımlar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B.2.2. Ölçme ve değerlendirme</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Programlarda öğrenci merkezli ölçme ve değerlendirme yaklaşımları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B.2.3. Öğrenci kabulü, önceki öğrenmenin tanınması ve kredilendirilmesi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öğrenci kabulü, önceki öğrenmenin tanınması ve kredilendirilmesine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B.2.4. Yeterliliklerin sertifikalandırılması ve diploma</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diploma onayı ve diğer yeterliliklerin sertifikalandırılmasına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 Öğrenme Kaynakları ve Akademik Destek Hizmetleri</w:t>
      </w:r>
      <w:r>
        <w:rPr>
          <w:rFonts w:ascii="Times New Roman" w:hAnsi="Times New Roman" w:eastAsia="Times New Roman" w:cs="Times New Roman"/>
          <w:b/>
          <w:bCs/>
          <w:color w:val="000000"/>
          <w:sz w:val="28"/>
          <w:szCs w:val="28"/>
        </w:rPr>
        <w:br/>
        <w:t xml:space="preserve">B.3.1. Öğrenme ortam ve kaynakları</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eğitim-öğretim faaliyetlerini sürdürebilmek için yeterli kaynağı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B.3.2. Akademik destek hizmetleri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öğrencilerin akademik gelişimi ve kariyer planlamasına yönelik destek hizmetleri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B.3.3. Tesis ve altyapılar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uygun nitelik ve nicelikte tesisler ve altyapı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B.3.4. Dezavantajlı gruplar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dezavantajlı grupların eğitim olanaklarına erişimine ilişkin planlamalar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B.3.5. Sosyal, kültürel, sportif faaliyetler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uygun nitelik ve nicelikte sosyal, kültürel ve sportif faaliyet olanakları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 Öğretim Kadrosu</w:t>
      </w:r>
      <w:r>
        <w:rPr>
          <w:rFonts w:ascii="Times New Roman" w:hAnsi="Times New Roman" w:eastAsia="Times New Roman" w:cs="Times New Roman"/>
          <w:b/>
          <w:bCs/>
          <w:color w:val="000000"/>
          <w:sz w:val="28"/>
          <w:szCs w:val="28"/>
        </w:rPr>
        <w:br/>
        <w:t xml:space="preserve">B.4.1. Atama, yükseltme ve görevlendirme kriterleri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atama, yükseltme ve görevlendirme süreçleri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B.4.2. Öğretim yetkinlikleri ve gelişimi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öğretim elemanlarının öğretim yetkinliğini geliştirmek üzere planlamalar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B.4.3. Eğitim faaliyetlerine yönelik teşvik ve ödüllendirme</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Öğretim kadrosuna yönelik teşvik ve ödüllendirilme mekanizmaları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C. ARAŞTIRMA VE GELİŞTİRME</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 Araştırma Süreçlerinin Yönetimi ve Araştırma Kaynakları</w:t>
      </w:r>
      <w:r>
        <w:rPr>
          <w:rFonts w:ascii="Times New Roman" w:hAnsi="Times New Roman" w:eastAsia="Times New Roman" w:cs="Times New Roman"/>
          <w:b/>
          <w:bCs/>
          <w:color w:val="000000"/>
          <w:sz w:val="28"/>
          <w:szCs w:val="28"/>
        </w:rPr>
        <w:br/>
        <w:t xml:space="preserve">C.1.1. Araştırma Süreçlerinin Yönetimi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araştırma süreçlerinin yönetimi ve organizasyonel yapısına ilişkin bir planlama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C.1.2. İç ve dış kaynaklar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araştırma ve geliştirme faaliyetlerini sürdürebilmesi için yeterli kaynağı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C.1.3. Doktora programları ve doktora sonrası imkanlar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doktora programı ve doktora sonrası imkanları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C.2. Araştırma Yetkinliği, İş birlikleri ve Destekler</w:t>
      </w:r>
      <w:r>
        <w:rPr>
          <w:rFonts w:ascii="Times New Roman" w:hAnsi="Times New Roman" w:eastAsia="Times New Roman" w:cs="Times New Roman"/>
          <w:b/>
          <w:bCs/>
          <w:color w:val="000000"/>
          <w:sz w:val="28"/>
          <w:szCs w:val="28"/>
        </w:rPr>
        <w:br/>
        <w:t xml:space="preserve">C.2.1. Araştırma yetkinlikleri ve gelişimi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öğretim elemanlarının araştırma yetkinliğinin geliştirilmesine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C.2.2. Ulusal ve uluslararası ortak programlar ve ortak araştırma birimleri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ulusal ve uluslararası düzeyde ortak programlar ve ortak araştırma birimleri oluşturma yönünde mekanizmalar bulunmamaktadır. </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C.3. Araştırma Performansı</w:t>
      </w:r>
      <w:r>
        <w:rPr>
          <w:rFonts w:ascii="Times New Roman" w:hAnsi="Times New Roman" w:eastAsia="Times New Roman" w:cs="Times New Roman"/>
          <w:b/>
          <w:bCs/>
          <w:color w:val="000000"/>
          <w:sz w:val="28"/>
          <w:szCs w:val="28"/>
        </w:rPr>
        <w:br/>
        <w:t xml:space="preserve">C.3.1. Araştırma performansının izlenmesi ve değerlendirilmesi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araştırma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C.3.2. Öğretim elemanı/araştırmacı performansının değerlendirilmesi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öğretim elemanlarının araştırma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D. TOPLUMSAL KATKI</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D.1. Toplumsal Katkı Süreçlerinin Yönetimi ve Toplumsal Katkı Kaynakları</w:t>
      </w:r>
      <w:r>
        <w:rPr>
          <w:rFonts w:ascii="Times New Roman" w:hAnsi="Times New Roman" w:eastAsia="Times New Roman" w:cs="Times New Roman"/>
          <w:b/>
          <w:bCs/>
          <w:color w:val="000000"/>
          <w:sz w:val="28"/>
          <w:szCs w:val="28"/>
        </w:rPr>
        <w:br/>
        <w:t xml:space="preserve">D.1.1. Toplumsal Katkı Süreçlerinin Yönetimi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toplumsal katkı süreçlerinin yönetimi ve organizasyonel yapısına ilişkin bir planlama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D.1.2. Kaynaklar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toplumsal katkı faaliyetlerini sürdürebilmesi için yeterli kaynağı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D.2. Toplumsal Katkı Performansı</w:t>
      </w:r>
      <w:r>
        <w:rPr>
          <w:rFonts w:ascii="Times New Roman" w:hAnsi="Times New Roman" w:eastAsia="Times New Roman" w:cs="Times New Roman"/>
          <w:b/>
          <w:bCs/>
          <w:color w:val="000000"/>
          <w:sz w:val="28"/>
          <w:szCs w:val="28"/>
        </w:rPr>
        <w:br/>
        <w:t xml:space="preserve">D.2.1. Toplumsal katkı performansının izlenmesi ve değerlendirilmesi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toplumsal katkı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SONUÇ VE DEĞERLENDİRME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Genel durum değerlendirmesi yapıldığında; - Döner Sermaye İşletmesi Müdürlüğü, kaynaklarını etkin, verimli ve ekonomik bir şekilde kullanmış ve mevcut insan kaynaklarını da en iyi şekilde değerlendirerek iş ve işlemleri kısa sürede sonuçlandırma ve daha çok iş kapasitesine ulaşma yönünde büyük ilerleme göstermiştir. - Döner Sermaye İşletmesi Müdürlüğü Akademik ve İdari personelin mesleki gelişimine katkı sağlamaktadır. - Trabzon ili ve çevresi başta olmak üzere Türkiye'nin kültürel, ekonomik ve sosyal kalkınmasına katkı sağlamaktadır. </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 </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29387">
    <w:multiLevelType w:val="hybridMultilevel"/>
    <w:lvl w:ilvl="0" w:tplc="82072438">
      <w:start w:val="1"/>
      <w:numFmt w:val="decimal"/>
      <w:lvlText w:val="%1."/>
      <w:lvlJc w:val="left"/>
      <w:pPr>
        <w:ind w:left="720" w:hanging="360"/>
      </w:pPr>
    </w:lvl>
    <w:lvl w:ilvl="1" w:tplc="82072438" w:tentative="1">
      <w:start w:val="1"/>
      <w:numFmt w:val="lowerLetter"/>
      <w:lvlText w:val="%2."/>
      <w:lvlJc w:val="left"/>
      <w:pPr>
        <w:ind w:left="1440" w:hanging="360"/>
      </w:pPr>
    </w:lvl>
    <w:lvl w:ilvl="2" w:tplc="82072438" w:tentative="1">
      <w:start w:val="1"/>
      <w:numFmt w:val="lowerRoman"/>
      <w:lvlText w:val="%3."/>
      <w:lvlJc w:val="right"/>
      <w:pPr>
        <w:ind w:left="2160" w:hanging="180"/>
      </w:pPr>
    </w:lvl>
    <w:lvl w:ilvl="3" w:tplc="82072438" w:tentative="1">
      <w:start w:val="1"/>
      <w:numFmt w:val="decimal"/>
      <w:lvlText w:val="%4."/>
      <w:lvlJc w:val="left"/>
      <w:pPr>
        <w:ind w:left="2880" w:hanging="360"/>
      </w:pPr>
    </w:lvl>
    <w:lvl w:ilvl="4" w:tplc="82072438" w:tentative="1">
      <w:start w:val="1"/>
      <w:numFmt w:val="lowerLetter"/>
      <w:lvlText w:val="%5."/>
      <w:lvlJc w:val="left"/>
      <w:pPr>
        <w:ind w:left="3600" w:hanging="360"/>
      </w:pPr>
    </w:lvl>
    <w:lvl w:ilvl="5" w:tplc="82072438" w:tentative="1">
      <w:start w:val="1"/>
      <w:numFmt w:val="lowerRoman"/>
      <w:lvlText w:val="%6."/>
      <w:lvlJc w:val="right"/>
      <w:pPr>
        <w:ind w:left="4320" w:hanging="180"/>
      </w:pPr>
    </w:lvl>
    <w:lvl w:ilvl="6" w:tplc="82072438" w:tentative="1">
      <w:start w:val="1"/>
      <w:numFmt w:val="decimal"/>
      <w:lvlText w:val="%7."/>
      <w:lvlJc w:val="left"/>
      <w:pPr>
        <w:ind w:left="5040" w:hanging="360"/>
      </w:pPr>
    </w:lvl>
    <w:lvl w:ilvl="7" w:tplc="82072438" w:tentative="1">
      <w:start w:val="1"/>
      <w:numFmt w:val="lowerLetter"/>
      <w:lvlText w:val="%8."/>
      <w:lvlJc w:val="left"/>
      <w:pPr>
        <w:ind w:left="5760" w:hanging="360"/>
      </w:pPr>
    </w:lvl>
    <w:lvl w:ilvl="8" w:tplc="82072438" w:tentative="1">
      <w:start w:val="1"/>
      <w:numFmt w:val="lowerRoman"/>
      <w:lvlText w:val="%9."/>
      <w:lvlJc w:val="right"/>
      <w:pPr>
        <w:ind w:left="6480" w:hanging="180"/>
      </w:pPr>
    </w:lvl>
  </w:abstractNum>
  <w:abstractNum w:abstractNumId="29386">
    <w:multiLevelType w:val="hybridMultilevel"/>
    <w:lvl w:ilvl="0" w:tplc="479457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386">
    <w:abstractNumId w:val="29386"/>
  </w:num>
  <w:num w:numId="29387">
    <w:abstractNumId w:val="293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 Id="rId859238724" Type="http://schemas.microsoft.com/office/2011/relationships/commentsExtended" Target="commentsExtended.xml"/><Relationship Id="rId942966b227c6ba853" Type="http://schemas.openxmlformats.org/officeDocument/2006/relationships/hyperlink" Target="https://donersermaye.trabzon.edu.tr" TargetMode="External"/><Relationship Id="rId828066b227c6baab0" Type="http://schemas.openxmlformats.org/officeDocument/2006/relationships/hyperlink" Target="https://donersermaye.trabzon.edu.tr/S/6611/faaliyet-raporlari" TargetMode="External"/><Relationship Id="rId165966b227c6bad0d" Type="http://schemas.openxmlformats.org/officeDocument/2006/relationships/hyperlink" Target="https://donersermaye.trabzon.edu.tr/S/2350/trabzon-universitesi" TargetMode="External"/><Relationship Id="rId968866b227c6baf6f" Type="http://schemas.openxmlformats.org/officeDocument/2006/relationships/hyperlink" Target="https://donersermaye.trabzon.edu.tr/" TargetMode="External"/><Relationship Id="rId240066b227c6bb1c9" Type="http://schemas.openxmlformats.org/officeDocument/2006/relationships/hyperlink" Target="https://donersermaye.trabzon.edu.tr/" TargetMode="External"/><Relationship Id="rId223166b227c6bb459" Type="http://schemas.openxmlformats.org/officeDocument/2006/relationships/hyperlink" Target="https://donersermaye.trabzon.edu.tr/" TargetMode="External"/><Relationship Id="rId283066b227c6bbc32" Type="http://schemas.openxmlformats.org/officeDocument/2006/relationships/hyperlink" Target="(A.3.3.1)%20https://donersermaye.trabzon.edu.tr/%20s%C3%BCre%C3%A7%20bilgileri" TargetMode="External"/><Relationship Id="rId632066b227c6bbc94" Type="http://schemas.openxmlformats.org/officeDocument/2006/relationships/hyperlink" Target="https://kidr.trabzon.edu.tr/indir.php?yol=./dosyayukle/d84fd35f22d67bc4c9b2c84f34a39879.pdf&amp;yeni=A.3.3._2%3A+%28A.3.3.2+%29+3+y%C4%B1ll%C4%B1k+tahmini+b%C3%BCt%C3%A7e" TargetMode="External"/><Relationship Id="rId104766b227c6bbcf3" Type="http://schemas.openxmlformats.org/officeDocument/2006/relationships/hyperlink" Target="https://kidr.trabzon.edu.tr/indir.php?yol=./dosyayukle/7c0365b44a360902d39fca4840185959.pdf&amp;yeni=A.3.3._3%3A+%28A.3.3.3%29+ge%C3%A7mi%C5%9F+y%C4%B1l+kesin+hesab%C4%B1" TargetMode="Externa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